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Salvation Army - Murfreesboro, TN</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Kim Wilson</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Kim.Wilson@uss.salvationarmy.org</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895-7071</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Kim Wilson by phone for instructions for accessing the website.</w:t>
              <w:br w:type="textWrapping"/>
            </w:r>
            <w:r w:rsidDel="00000000" w:rsidR="00000000" w:rsidRPr="00000000">
              <w:rPr>
                <w:rtl w:val="0"/>
              </w:rPr>
            </w:r>
          </w:p>
          <w:p w:rsidR="00000000" w:rsidDel="00000000" w:rsidP="00000000" w:rsidRDefault="00000000" w:rsidRPr="00000000" w14:paraId="00000016">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with kitchen duties such as meal prep, meal servers, and kitchen assistants. They can also volunteer as front desk volunteers, bell ringers, and pantry organizers.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Feed the Children</w:t>
            </w:r>
          </w:p>
        </w:tc>
      </w:tr>
      <w:tr>
        <w:trPr>
          <w:cantSplit w:val="0"/>
          <w:tblHeader w:val="0"/>
        </w:trPr>
        <w:tc>
          <w:tcPr>
            <w:tcBorders>
              <w:top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Aieshia Johnson</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aieshia.johnson@feedthechildren.org</w:t>
              </w:r>
            </w:hyperlink>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307-4679</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Aieshia by phone or email</w:t>
              <w:br w:type="textWrapping"/>
            </w:r>
            <w:r w:rsidDel="00000000" w:rsidR="00000000" w:rsidRPr="00000000">
              <w:rPr>
                <w:rtl w:val="0"/>
              </w:rPr>
            </w:r>
          </w:p>
          <w:p w:rsidR="00000000" w:rsidDel="00000000" w:rsidP="00000000" w:rsidRDefault="00000000" w:rsidRPr="00000000" w14:paraId="0000001D">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rtl w:val="0"/>
              </w:rPr>
              <w:t xml:space="preserve">Volunteers can build boxes filled with food and essentials that will be delivered to families in need across the United States. Volunteers make our food distribution programs possible by sorting and screening products and helping assemble boxes loaded with much-needed food and essentials.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TN Valley Healthcare System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F">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020">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Contacts: </w:t>
            </w:r>
            <w:r w:rsidDel="00000000" w:rsidR="00000000" w:rsidRPr="00000000">
              <w:rPr>
                <w:rFonts w:ascii="Calibri" w:cs="Calibri" w:eastAsia="Calibri" w:hAnsi="Calibri"/>
                <w:color w:val="595959"/>
                <w:rtl w:val="0"/>
              </w:rPr>
              <w:t xml:space="preserve">Les Moore, Adam Sykes, Danielle Hester</w:t>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leslie.moore3@va.gov</w:t>
              </w:r>
            </w:hyperlink>
            <w:r w:rsidDel="00000000" w:rsidR="00000000" w:rsidRPr="00000000">
              <w:rPr>
                <w:rtl w:val="0"/>
              </w:rPr>
            </w:r>
          </w:p>
          <w:p w:rsidR="00000000" w:rsidDel="00000000" w:rsidP="00000000" w:rsidRDefault="00000000" w:rsidRPr="00000000" w14:paraId="00000022">
            <w:pPr>
              <w:numPr>
                <w:ilvl w:val="0"/>
                <w:numId w:val="5"/>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225-6497</w:t>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w:t>
              <w:br w:type="textWrapping"/>
            </w:r>
          </w:p>
          <w:p w:rsidR="00000000" w:rsidDel="00000000" w:rsidP="00000000" w:rsidRDefault="00000000" w:rsidRPr="00000000" w14:paraId="00000024">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TN Valley Health Care offers an ambassador program for volunteers to help escort Veterans to appointments, and assist with general office work.</w:t>
            </w:r>
          </w:p>
        </w:tc>
      </w:tr>
      <w:tr>
        <w:trPr>
          <w:cantSplit w:val="0"/>
          <w:tblHeader w:val="0"/>
        </w:trPr>
        <w:tc>
          <w:tcPr>
            <w:shd w:fill="76bc21" w:val="clear"/>
          </w:tcPr>
          <w:p w:rsidR="00000000" w:rsidDel="00000000" w:rsidP="00000000" w:rsidRDefault="00000000" w:rsidRPr="00000000" w14:paraId="00000025">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Alvin C. York VA Medical Center in Murfreesboro</w:t>
            </w:r>
          </w:p>
        </w:tc>
      </w:tr>
      <w:tr>
        <w:trPr>
          <w:cantSplit w:val="0"/>
          <w:tblHeader w:val="0"/>
        </w:trPr>
        <w:tc>
          <w:tcPr/>
          <w:p w:rsidR="00000000" w:rsidDel="00000000" w:rsidP="00000000" w:rsidRDefault="00000000" w:rsidRPr="00000000" w14:paraId="00000026">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27">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Les Moore</w:t>
            </w:r>
            <w:r w:rsidDel="00000000" w:rsidR="00000000" w:rsidRPr="00000000">
              <w:rPr>
                <w:rtl w:val="0"/>
              </w:rPr>
            </w:r>
          </w:p>
          <w:p w:rsidR="00000000" w:rsidDel="00000000" w:rsidP="00000000" w:rsidRDefault="00000000" w:rsidRPr="00000000" w14:paraId="00000028">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225-6497 ext: 22690</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w:t>
              <w:br w:type="textWrapping"/>
            </w:r>
            <w:r w:rsidDel="00000000" w:rsidR="00000000" w:rsidRPr="00000000">
              <w:rPr>
                <w:rtl w:val="0"/>
              </w:rPr>
            </w:r>
          </w:p>
          <w:p w:rsidR="00000000" w:rsidDel="00000000" w:rsidP="00000000" w:rsidRDefault="00000000" w:rsidRPr="00000000" w14:paraId="0000002A">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Short-term volunteers can work in the Center for Development and Engagement helping to sort and organize donations, folding letters for mailouts, etc. For students interested in longer-term assignments, we have a variety of positions available including serving as a friendly visitor, volunteer Ambassadors (pushing patients in wheelchairs throughout the medical center and providing directional assistance), providing clerical assistance, etc. College students may also have an opportunity to volunteer in their area of career interest. Examples include pharmacy, physical therapy, occupational therapy, and medicine.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B">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Second Harvest Food Bank of Middle TN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C">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2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Xavie Rolon, Program Coordinator, Volunteer Engagement</w:t>
            </w:r>
          </w:p>
          <w:p w:rsidR="00000000" w:rsidDel="00000000" w:rsidP="00000000" w:rsidRDefault="00000000" w:rsidRPr="00000000" w14:paraId="0000002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volunteer@secondharvestmidtn.org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627-1581</w:t>
            </w:r>
          </w:p>
          <w:p w:rsidR="00000000" w:rsidDel="00000000" w:rsidP="00000000" w:rsidRDefault="00000000" w:rsidRPr="00000000" w14:paraId="0000003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Volunteers must create an account below to sign up for shifts. Unless you are volunteering at our Nashville location, do NOT click “I am a Tennessee Promise student” when creating your account. </w:t>
            </w:r>
            <w:r w:rsidDel="00000000" w:rsidR="00000000" w:rsidRPr="00000000">
              <w:rPr>
                <w:rtl w:val="0"/>
              </w:rPr>
            </w:r>
          </w:p>
          <w:p w:rsidR="00000000" w:rsidDel="00000000" w:rsidP="00000000" w:rsidRDefault="00000000" w:rsidRPr="00000000" w14:paraId="00000031">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https://secondharvestmidtn.volunteerhub.com/vv2/</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32">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Second Harvest Food Bank of Middle TN with sorting and packing donated food in our warehouse which helps to provide millions of meals each month to our hungry neighbors in middle and west Tennessee. Students volunteering at the Nacarato Family Distribution Center in Smyrna are welcome to sign up for any available Food Sorting shifts at this location to receive credit for service hours. Due to safety concerns, all volunteers must wear closed-toed shoes (no sandals or flip flops) and clothes appropriate to work in a warehouse environment. It is also recommended to bring a sweatshirt and long pants in case you are needed to work in the 40-degree cooler. When submitting your TN Promise community service hours, please list Xavie Rolon as your supervisor.</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3">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&amp; Girls Clubs of Rutherford County</w:t>
            </w:r>
          </w:p>
        </w:tc>
      </w:tr>
      <w:tr>
        <w:trPr>
          <w:cantSplit w:val="0"/>
          <w:tblHeader w:val="0"/>
        </w:trPr>
        <w:tc>
          <w:tcPr>
            <w:tcBorders>
              <w:top w:color="000000" w:space="0" w:sz="0" w:val="nil"/>
            </w:tcBorders>
          </w:tcPr>
          <w:p w:rsidR="00000000" w:rsidDel="00000000" w:rsidP="00000000" w:rsidRDefault="00000000" w:rsidRPr="00000000" w14:paraId="00000034">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Shalonda Brown, Brittany Montgomery</w:t>
            </w:r>
          </w:p>
          <w:p w:rsidR="00000000" w:rsidDel="00000000" w:rsidP="00000000" w:rsidRDefault="00000000" w:rsidRPr="00000000" w14:paraId="0000003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Shalonda.Brown@bgcrc.net</w:t>
              </w:r>
            </w:hyperlink>
            <w:r w:rsidDel="00000000" w:rsidR="00000000" w:rsidRPr="00000000">
              <w:rPr>
                <w:rFonts w:ascii="Calibri" w:cs="Calibri" w:eastAsia="Calibri" w:hAnsi="Calibri"/>
                <w:color w:val="595959"/>
                <w:rtl w:val="0"/>
              </w:rPr>
              <w:t xml:space="preserve">, </w:t>
            </w:r>
            <w:hyperlink r:id="rId13">
              <w:r w:rsidDel="00000000" w:rsidR="00000000" w:rsidRPr="00000000">
                <w:rPr>
                  <w:rFonts w:ascii="Calibri" w:cs="Calibri" w:eastAsia="Calibri" w:hAnsi="Calibri"/>
                  <w:color w:val="76bc21"/>
                  <w:u w:val="single"/>
                  <w:rtl w:val="0"/>
                </w:rPr>
                <w:t xml:space="preserve">brittany.montgomery@bgcrc.net</w:t>
              </w:r>
            </w:hyperlink>
            <w:r w:rsidDel="00000000" w:rsidR="00000000" w:rsidRPr="00000000">
              <w:rPr>
                <w:rtl w:val="0"/>
              </w:rPr>
            </w:r>
          </w:p>
          <w:p w:rsidR="00000000" w:rsidDel="00000000" w:rsidP="00000000" w:rsidRDefault="00000000" w:rsidRPr="00000000" w14:paraId="0000003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984-4087</w:t>
            </w:r>
          </w:p>
          <w:p w:rsidR="00000000" w:rsidDel="00000000" w:rsidP="00000000" w:rsidRDefault="00000000" w:rsidRPr="00000000" w14:paraId="0000003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br w:type="textWrapping"/>
            </w:r>
            <w:r w:rsidDel="00000000" w:rsidR="00000000" w:rsidRPr="00000000">
              <w:rPr>
                <w:rtl w:val="0"/>
              </w:rPr>
            </w:r>
          </w:p>
          <w:p w:rsidR="00000000" w:rsidDel="00000000" w:rsidP="00000000" w:rsidRDefault="00000000" w:rsidRPr="00000000" w14:paraId="00000039">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needed to help with tutoring, homework, and general programming.</w:t>
            </w:r>
          </w:p>
        </w:tc>
      </w:tr>
      <w:tr>
        <w:trPr>
          <w:cantSplit w:val="0"/>
          <w:tblHeader w:val="0"/>
        </w:trPr>
        <w:tc>
          <w:tcPr>
            <w:tcBorders>
              <w:top w:color="000000" w:space="0" w:sz="0" w:val="nil"/>
            </w:tcBorders>
            <w:shd w:fill="76bc21" w:val="clear"/>
          </w:tcPr>
          <w:p w:rsidR="00000000" w:rsidDel="00000000" w:rsidP="00000000" w:rsidRDefault="00000000" w:rsidRPr="00000000" w14:paraId="0000003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Adoration Hospice</w:t>
            </w:r>
          </w:p>
        </w:tc>
      </w:tr>
      <w:tr>
        <w:trPr>
          <w:cantSplit w:val="0"/>
          <w:tblHeader w:val="0"/>
        </w:trPr>
        <w:tc>
          <w:tcPr>
            <w:tcBorders>
              <w:top w:color="000000" w:space="0" w:sz="0" w:val="nil"/>
            </w:tcBorders>
          </w:tcPr>
          <w:p w:rsidR="00000000" w:rsidDel="00000000" w:rsidP="00000000" w:rsidRDefault="00000000" w:rsidRPr="00000000" w14:paraId="0000003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Anjanette Sammons</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4">
              <w:r w:rsidDel="00000000" w:rsidR="00000000" w:rsidRPr="00000000">
                <w:rPr>
                  <w:rFonts w:ascii="Calibri" w:cs="Calibri" w:eastAsia="Calibri" w:hAnsi="Calibri"/>
                  <w:color w:val="76bc21"/>
                  <w:u w:val="single"/>
                  <w:rtl w:val="0"/>
                </w:rPr>
                <w:t xml:space="preserve">anjanette.sammons@adorationhealth.com</w:t>
              </w:r>
            </w:hyperlink>
            <w:r w:rsidDel="00000000" w:rsidR="00000000" w:rsidRPr="00000000">
              <w:rPr>
                <w:rtl w:val="0"/>
              </w:rPr>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733-3600</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br w:type="textWrapping"/>
            </w:r>
            <w:r w:rsidDel="00000000" w:rsidR="00000000" w:rsidRPr="00000000">
              <w:rPr>
                <w:rtl w:val="0"/>
              </w:rPr>
            </w:r>
          </w:p>
          <w:p w:rsidR="00000000" w:rsidDel="00000000" w:rsidP="00000000" w:rsidRDefault="00000000" w:rsidRPr="00000000" w14:paraId="00000040">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either sit with patients or to do some administrative duties. Flexible times available. *must be able to pass a drug screen!</w:t>
            </w:r>
          </w:p>
        </w:tc>
      </w:tr>
      <w:tr>
        <w:trPr>
          <w:cantSplit w:val="0"/>
          <w:tblHeader w:val="0"/>
        </w:trPr>
        <w:tc>
          <w:tcPr>
            <w:tcBorders>
              <w:top w:color="000000" w:space="0" w:sz="0" w:val="nil"/>
            </w:tcBorders>
            <w:shd w:fill="76bc21" w:val="clear"/>
          </w:tcPr>
          <w:p w:rsidR="00000000" w:rsidDel="00000000" w:rsidP="00000000" w:rsidRDefault="00000000" w:rsidRPr="00000000" w14:paraId="00000041">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Humane Society of Tennessee Valley</w:t>
            </w:r>
          </w:p>
        </w:tc>
      </w:tr>
      <w:tr>
        <w:trPr>
          <w:cantSplit w:val="0"/>
          <w:tblHeader w:val="0"/>
        </w:trPr>
        <w:tc>
          <w:tcPr>
            <w:tcBorders>
              <w:top w:color="000000" w:space="0" w:sz="0" w:val="nil"/>
            </w:tcBorders>
          </w:tcPr>
          <w:p w:rsidR="00000000" w:rsidDel="00000000" w:rsidP="00000000" w:rsidRDefault="00000000" w:rsidRPr="00000000" w14:paraId="00000042">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paws@rutherfordcountytn.gov</w:t>
              </w:r>
            </w:hyperlink>
            <w:r w:rsidDel="00000000" w:rsidR="00000000" w:rsidRPr="00000000">
              <w:rPr>
                <w:rtl w:val="0"/>
              </w:rPr>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898-7740</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46">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Help maintain high-quality care of animals and life-saving work. There are numerous ways you can volunteer at the shelter!</w:t>
            </w:r>
          </w:p>
        </w:tc>
      </w:tr>
      <w:tr>
        <w:trPr>
          <w:cantSplit w:val="0"/>
          <w:tblHeader w:val="0"/>
        </w:trPr>
        <w:tc>
          <w:tcPr>
            <w:tcBorders>
              <w:top w:color="000000" w:space="0" w:sz="0" w:val="nil"/>
            </w:tcBorders>
            <w:shd w:fill="76bc21" w:val="clear"/>
          </w:tcPr>
          <w:p w:rsidR="00000000" w:rsidDel="00000000" w:rsidP="00000000" w:rsidRDefault="00000000" w:rsidRPr="00000000" w14:paraId="0000004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Nourish Food Bank</w:t>
            </w:r>
          </w:p>
        </w:tc>
      </w:tr>
      <w:tr>
        <w:trPr>
          <w:cantSplit w:val="0"/>
          <w:tblHeader w:val="0"/>
        </w:trPr>
        <w:tc>
          <w:tcPr>
            <w:tcBorders>
              <w:top w:color="000000" w:space="0" w:sz="0" w:val="nil"/>
            </w:tcBorders>
          </w:tcPr>
          <w:p w:rsidR="00000000" w:rsidDel="00000000" w:rsidP="00000000" w:rsidRDefault="00000000" w:rsidRPr="00000000" w14:paraId="00000048">
            <w:pPr>
              <w:ind w:left="9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203-3963</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4B">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C">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Assist with donations and bulk deliveries. Check dates, sort, stock, organize, and transport items throughout the distribution site. Volunteers are also needed to pick up food drives, donations, grocery excess, or bulk items from locations around our sites.</w:t>
            </w:r>
          </w:p>
        </w:tc>
      </w:tr>
      <w:tr>
        <w:trPr>
          <w:cantSplit w:val="0"/>
          <w:tblHeader w:val="0"/>
        </w:trPr>
        <w:tc>
          <w:tcPr>
            <w:tcBorders>
              <w:top w:color="000000" w:space="0" w:sz="0" w:val="nil"/>
            </w:tcBorders>
          </w:tcPr>
          <w:p w:rsidR="00000000" w:rsidDel="00000000" w:rsidP="00000000" w:rsidRDefault="00000000" w:rsidRPr="00000000" w14:paraId="0000004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Center for the Arts</w:t>
            </w:r>
          </w:p>
        </w:tc>
      </w:tr>
      <w:tr>
        <w:trPr>
          <w:cantSplit w:val="0"/>
          <w:trHeight w:val="1425" w:hRule="atLeast"/>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904-2787</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w:t>
              <w:br w:type="textWrapping"/>
            </w:r>
          </w:p>
          <w:p w:rsidR="00000000" w:rsidDel="00000000" w:rsidP="00000000" w:rsidRDefault="00000000" w:rsidRPr="00000000" w14:paraId="00000052">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would be responsible for assisting with mailing, office, special projects, concessions, and more.</w:t>
            </w:r>
          </w:p>
        </w:tc>
      </w:tr>
      <w:tr>
        <w:trPr>
          <w:cantSplit w:val="0"/>
          <w:tblHeader w:val="0"/>
        </w:trPr>
        <w:tc>
          <w:tcPr>
            <w:tcBorders>
              <w:top w:color="000000" w:space="0" w:sz="0" w:val="nil"/>
            </w:tcBorders>
          </w:tcPr>
          <w:p w:rsidR="00000000" w:rsidDel="00000000" w:rsidP="00000000" w:rsidRDefault="00000000" w:rsidRPr="00000000" w14:paraId="00000053">
            <w:pPr>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54">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Greenhouse Ministries</w:t>
            </w:r>
          </w:p>
        </w:tc>
      </w:tr>
      <w:tr>
        <w:trPr>
          <w:cantSplit w:val="0"/>
          <w:tblHeader w:val="0"/>
        </w:trPr>
        <w:tc>
          <w:tcPr>
            <w:tcBorders>
              <w:top w:color="000000" w:space="0" w:sz="0" w:val="nil"/>
            </w:tcBorders>
          </w:tcPr>
          <w:p w:rsidR="00000000" w:rsidDel="00000000" w:rsidP="00000000" w:rsidRDefault="00000000" w:rsidRPr="00000000" w14:paraId="00000055">
            <w:pPr>
              <w:ind w:left="9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494-0499</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br w:type="textWrapping"/>
            </w:r>
          </w:p>
          <w:p w:rsidR="00000000" w:rsidDel="00000000" w:rsidP="00000000" w:rsidRDefault="00000000" w:rsidRPr="00000000" w14:paraId="00000058">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 opportunities include personal shoppers, sorting donations, stocking the food pantry, assisting in the garden patch, and assisting with special events/projects.</w:t>
            </w:r>
          </w:p>
        </w:tc>
      </w:tr>
      <w:tr>
        <w:trPr>
          <w:cantSplit w:val="0"/>
          <w:tblHeader w:val="0"/>
        </w:trPr>
        <w:tc>
          <w:tcPr>
            <w:tcBorders>
              <w:top w:color="000000" w:space="0" w:sz="0" w:val="nil"/>
            </w:tcBorders>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5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Rutherford County Habitat for Humanity</w:t>
            </w:r>
          </w:p>
        </w:tc>
      </w:tr>
      <w:tr>
        <w:trPr>
          <w:cantSplit w:val="0"/>
          <w:tblHeader w:val="0"/>
        </w:trPr>
        <w:tc>
          <w:tcPr>
            <w:tcBorders>
              <w:top w:color="000000" w:space="0" w:sz="0" w:val="nil"/>
            </w:tcBorders>
          </w:tcPr>
          <w:p w:rsidR="00000000" w:rsidDel="00000000" w:rsidP="00000000" w:rsidRDefault="00000000" w:rsidRPr="00000000" w14:paraId="0000005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Megan Hutchings</w:t>
            </w:r>
          </w:p>
          <w:p w:rsidR="00000000" w:rsidDel="00000000" w:rsidP="00000000" w:rsidRDefault="00000000" w:rsidRPr="00000000" w14:paraId="000000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megan@rchfh.org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5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890-5877</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Megan Hutchings at 615.890.5877 ext. 106</w:t>
              <w:br w:type="textWrapping"/>
            </w:r>
          </w:p>
          <w:p w:rsidR="00000000" w:rsidDel="00000000" w:rsidP="00000000" w:rsidRDefault="00000000" w:rsidRPr="00000000" w14:paraId="00000060">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There are several opportunities to build or repair homes with families, in addition, to volunteer work opportunities at a local Habitat ReStore. Students should note that opportunities depend on availability, schedule, and type of project. Opportunities are available with the ReStore and on job sites. </w:t>
            </w:r>
          </w:p>
        </w:tc>
      </w:tr>
      <w:tr>
        <w:trPr>
          <w:cantSplit w:val="0"/>
          <w:tblHeader w:val="0"/>
        </w:trPr>
        <w:tc>
          <w:tcPr>
            <w:tcBorders>
              <w:top w:color="000000" w:space="0" w:sz="0" w:val="nil"/>
            </w:tcBorders>
          </w:tcPr>
          <w:p w:rsidR="00000000" w:rsidDel="00000000" w:rsidP="00000000" w:rsidRDefault="00000000" w:rsidRPr="00000000" w14:paraId="0000006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62">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&amp; Girls Clubs of Rutherford County</w:t>
            </w:r>
          </w:p>
        </w:tc>
      </w:tr>
      <w:tr>
        <w:trPr>
          <w:cantSplit w:val="0"/>
          <w:tblHeader w:val="0"/>
        </w:trPr>
        <w:tc>
          <w:tcPr>
            <w:tcBorders>
              <w:top w:color="000000" w:space="0" w:sz="0" w:val="nil"/>
            </w:tcBorders>
          </w:tcPr>
          <w:p w:rsidR="00000000" w:rsidDel="00000000" w:rsidP="00000000" w:rsidRDefault="00000000" w:rsidRPr="00000000" w14:paraId="00000063">
            <w:pPr>
              <w:ind w:left="9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893-5437</w:t>
            </w:r>
          </w:p>
          <w:p w:rsidR="00000000" w:rsidDel="00000000" w:rsidP="00000000" w:rsidRDefault="00000000" w:rsidRPr="00000000" w14:paraId="000000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Call/website link</w:t>
            </w:r>
          </w:p>
          <w:p w:rsidR="00000000" w:rsidDel="00000000" w:rsidP="00000000" w:rsidRDefault="00000000" w:rsidRPr="00000000" w14:paraId="0000006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https://www.bgcrc.net/volunteer/</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67">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can help with homework, coach a game, or teach an art project, and you’ll have the opportunity to build healthy relationships with young people eager for adult guidance and have a positive impact on their lives. </w:t>
            </w:r>
          </w:p>
        </w:tc>
      </w:tr>
      <w:tr>
        <w:trPr>
          <w:cantSplit w:val="0"/>
          <w:tblHeader w:val="0"/>
        </w:trPr>
        <w:tc>
          <w:tcPr>
            <w:tcBorders>
              <w:top w:color="000000" w:space="0" w:sz="0" w:val="nil"/>
            </w:tcBorders>
          </w:tcPr>
          <w:p w:rsidR="00000000" w:rsidDel="00000000" w:rsidP="00000000" w:rsidRDefault="00000000" w:rsidRPr="00000000" w14:paraId="00000068">
            <w:pPr>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69">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Linebaugh Public Library</w:t>
            </w:r>
          </w:p>
        </w:tc>
      </w:tr>
      <w:tr>
        <w:trPr>
          <w:cantSplit w:val="0"/>
          <w:tblHeader w:val="0"/>
        </w:trPr>
        <w:tc>
          <w:tcPr>
            <w:tcBorders>
              <w:top w:color="000000" w:space="0" w:sz="0" w:val="nil"/>
            </w:tcBorders>
          </w:tcPr>
          <w:p w:rsidR="00000000" w:rsidDel="00000000" w:rsidP="00000000" w:rsidRDefault="00000000" w:rsidRPr="00000000" w14:paraId="0000006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Shasta Howe</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showe@rclstn.org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6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To sign up, an online application must be filled out. It can be found on the Volunteer page of our website under the About Us tab.</w:t>
            </w:r>
          </w:p>
          <w:p w:rsidR="00000000" w:rsidDel="00000000" w:rsidP="00000000" w:rsidRDefault="00000000" w:rsidRPr="00000000" w14:paraId="0000006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https://rclstn.org/about-us-0?qt-guide=8#qt-guide</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6F">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TN Promise volunteers generally work with the Circulation Department, but may be asked to complete tasks for other departments. Assignments may include shelving materials, reading shelves (making sure things are in the correct order and straightening up), pulling books that have been reserved, cleaning, shredding paperwork, assisting with library events, and other tasks as needed. </w:t>
            </w:r>
          </w:p>
        </w:tc>
      </w:tr>
      <w:tr>
        <w:trPr>
          <w:cantSplit w:val="0"/>
          <w:tblHeader w:val="0"/>
        </w:trPr>
        <w:tc>
          <w:tcPr>
            <w:tcBorders>
              <w:top w:color="000000" w:space="0" w:sz="0" w:val="nil"/>
            </w:tcBorders>
          </w:tcPr>
          <w:p w:rsidR="00000000" w:rsidDel="00000000" w:rsidP="00000000" w:rsidRDefault="00000000" w:rsidRPr="00000000" w14:paraId="0000007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71">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Feed America First</w:t>
            </w:r>
          </w:p>
        </w:tc>
      </w:tr>
      <w:tr>
        <w:trPr>
          <w:cantSplit w:val="0"/>
          <w:tblHeader w:val="0"/>
        </w:trPr>
        <w:tc>
          <w:tcPr>
            <w:tcBorders>
              <w:top w:color="000000" w:space="0" w:sz="0" w:val="nil"/>
            </w:tcBorders>
          </w:tcPr>
          <w:p w:rsidR="00000000" w:rsidDel="00000000" w:rsidP="00000000" w:rsidRDefault="00000000" w:rsidRPr="00000000" w14:paraId="0000007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Michelle Olsen</w:t>
            </w:r>
          </w:p>
          <w:p w:rsidR="00000000" w:rsidDel="00000000" w:rsidP="00000000" w:rsidRDefault="00000000" w:rsidRPr="00000000" w14:paraId="0000007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michelleolsen@feedamericafirst.com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7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993-4715</w:t>
            </w:r>
          </w:p>
          <w:p w:rsidR="00000000" w:rsidDel="00000000" w:rsidP="00000000" w:rsidRDefault="00000000" w:rsidRPr="00000000" w14:paraId="0000007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Call/Email </w:t>
              <w:br w:type="textWrapping"/>
            </w:r>
          </w:p>
          <w:p w:rsidR="00000000" w:rsidDel="00000000" w:rsidP="00000000" w:rsidRDefault="00000000" w:rsidRPr="00000000" w14:paraId="00000077">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Students can assist in packing and sorting food into boxes to distribute to our ministry partners.</w:t>
            </w:r>
          </w:p>
        </w:tc>
      </w:tr>
      <w:tr>
        <w:trPr>
          <w:cantSplit w:val="0"/>
          <w:tblHeader w:val="0"/>
        </w:trPr>
        <w:tc>
          <w:tcPr>
            <w:tcBorders>
              <w:top w:color="000000" w:space="0" w:sz="0" w:val="nil"/>
            </w:tcBorders>
          </w:tcPr>
          <w:p w:rsidR="00000000" w:rsidDel="00000000" w:rsidP="00000000" w:rsidRDefault="00000000" w:rsidRPr="00000000" w14:paraId="0000007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79">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Nourish Food Bank</w:t>
            </w:r>
          </w:p>
        </w:tc>
      </w:tr>
      <w:tr>
        <w:trPr>
          <w:cantSplit w:val="0"/>
          <w:tblHeader w:val="0"/>
        </w:trPr>
        <w:tc>
          <w:tcPr>
            <w:tcBorders>
              <w:top w:color="000000" w:space="0" w:sz="0" w:val="nil"/>
            </w:tcBorders>
          </w:tcPr>
          <w:p w:rsidR="00000000" w:rsidDel="00000000" w:rsidP="00000000" w:rsidRDefault="00000000" w:rsidRPr="00000000" w14:paraId="0000007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7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Dexter Oneal</w:t>
            </w:r>
          </w:p>
          <w:p w:rsidR="00000000" w:rsidDel="00000000" w:rsidP="00000000" w:rsidRDefault="00000000" w:rsidRPr="00000000" w14:paraId="0000007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dexter@nourishfoodbanks.org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7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482-7980</w:t>
            </w:r>
          </w:p>
          <w:p w:rsidR="00000000" w:rsidDel="00000000" w:rsidP="00000000" w:rsidRDefault="00000000" w:rsidRPr="00000000" w14:paraId="0000007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07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3">
              <w:r w:rsidDel="00000000" w:rsidR="00000000" w:rsidRPr="00000000">
                <w:rPr>
                  <w:rFonts w:ascii="Calibri" w:cs="Calibri" w:eastAsia="Calibri" w:hAnsi="Calibri"/>
                  <w:color w:val="76bc21"/>
                  <w:u w:val="single"/>
                  <w:rtl w:val="0"/>
                </w:rPr>
                <w:t xml:space="preserve">Nourishfoodbanks.org</w:t>
              </w:r>
            </w:hyperlink>
            <w:r w:rsidDel="00000000" w:rsidR="00000000" w:rsidRPr="00000000">
              <w:rPr>
                <w:rtl w:val="0"/>
              </w:rPr>
            </w:r>
          </w:p>
          <w:p w:rsidR="00000000" w:rsidDel="00000000" w:rsidP="00000000" w:rsidRDefault="00000000" w:rsidRPr="00000000" w14:paraId="00000080">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At this location, volunteers will assist with donations and bulk deliveries. Volunteers will check expiration dates, sort, stock, organize, and transport items throughout the distribution site.</w:t>
            </w:r>
          </w:p>
          <w:p w:rsidR="00000000" w:rsidDel="00000000" w:rsidP="00000000" w:rsidRDefault="00000000" w:rsidRPr="00000000" w14:paraId="00000081">
            <w:pPr>
              <w:spacing w:after="160" w:lineRule="auto"/>
              <w:ind w:left="9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8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4">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7">
      <w:pPr>
        <w:ind w:left="90" w:right="-720" w:firstLine="0"/>
        <w:rPr/>
      </w:pPr>
      <w:r w:rsidDel="00000000" w:rsidR="00000000" w:rsidRPr="00000000">
        <w:rPr>
          <w:rtl w:val="0"/>
        </w:rPr>
      </w:r>
    </w:p>
    <w:sectPr>
      <w:headerReference r:id="rId24" w:type="default"/>
      <w:headerReference r:id="rId25" w:type="first"/>
      <w:foot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Rutherford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rclstn.org/about-us-0?qt-guide=8#qt-guide" TargetMode="External"/><Relationship Id="rId22" Type="http://schemas.openxmlformats.org/officeDocument/2006/relationships/hyperlink" Target="mailto:dexter@nourishfoodbanks.org" TargetMode="External"/><Relationship Id="rId21" Type="http://schemas.openxmlformats.org/officeDocument/2006/relationships/hyperlink" Target="mailto:michelleolsen@feedamericafirst.com" TargetMode="External"/><Relationship Id="rId24" Type="http://schemas.openxmlformats.org/officeDocument/2006/relationships/header" Target="header1.xml"/><Relationship Id="rId23" Type="http://schemas.openxmlformats.org/officeDocument/2006/relationships/hyperlink" Target="http://nourishfoodbank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lie.moore3@va.gov" TargetMode="External"/><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Kim.Wilson@uss.salvationarmy.org" TargetMode="External"/><Relationship Id="rId8" Type="http://schemas.openxmlformats.org/officeDocument/2006/relationships/hyperlink" Target="mailto:aieshia.johnson@feedthechildren.org" TargetMode="External"/><Relationship Id="rId11" Type="http://schemas.openxmlformats.org/officeDocument/2006/relationships/hyperlink" Target="https://secondharvestmidtn.volunteerhub.com/vv2/" TargetMode="External"/><Relationship Id="rId10" Type="http://schemas.openxmlformats.org/officeDocument/2006/relationships/hyperlink" Target="mailto:volunteer@secondharvestmidtn.org" TargetMode="External"/><Relationship Id="rId13" Type="http://schemas.openxmlformats.org/officeDocument/2006/relationships/hyperlink" Target="mailto:brittany.montgomery@bgcrc.net" TargetMode="External"/><Relationship Id="rId12" Type="http://schemas.openxmlformats.org/officeDocument/2006/relationships/hyperlink" Target="mailto:Shalonda.Brown@bgcrc.net" TargetMode="External"/><Relationship Id="rId15" Type="http://schemas.openxmlformats.org/officeDocument/2006/relationships/hyperlink" Target="mailto:paws@rutherfordcountytn.gov" TargetMode="External"/><Relationship Id="rId14" Type="http://schemas.openxmlformats.org/officeDocument/2006/relationships/hyperlink" Target="mailto:anjanette.sammons@adorationhealth.com" TargetMode="External"/><Relationship Id="rId17" Type="http://schemas.openxmlformats.org/officeDocument/2006/relationships/hyperlink" Target="mailto:megan@rchfh.org" TargetMode="External"/><Relationship Id="rId16" Type="http://schemas.openxmlformats.org/officeDocument/2006/relationships/hyperlink" Target="https://www.thestore.org/" TargetMode="External"/><Relationship Id="rId19" Type="http://schemas.openxmlformats.org/officeDocument/2006/relationships/hyperlink" Target="mailto:showe@rclstn.org" TargetMode="External"/><Relationship Id="rId18" Type="http://schemas.openxmlformats.org/officeDocument/2006/relationships/hyperlink" Target="https://www.bgcrc.net/volunte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