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Jackson County Schools 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Sarah Wooldridgei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swooldridge@jcpsmail.org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(828) 586-2311 ext. 1943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an important part of the school community. Jackson County Public Schools promotes and encourages the help of volunteers for a variety of roles  in order to expand and enhance parental and community involvement in our schools while continuing to maintain a high level of safety and security. Please reach out to Sarah to find out more information about specific opportunities.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Jackson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