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 Attic Outlet - Community Care Ministries, Inc.</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3"/>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Lisa Cardwell</w:t>
            </w:r>
          </w:p>
          <w:p w:rsidR="00000000" w:rsidDel="00000000" w:rsidP="00000000" w:rsidRDefault="00000000" w:rsidRPr="00000000" w14:paraId="00000013">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commcare@lighttube.net</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393-3002</w:t>
            </w:r>
          </w:p>
          <w:p w:rsidR="00000000" w:rsidDel="00000000" w:rsidP="00000000" w:rsidRDefault="00000000" w:rsidRPr="00000000" w14:paraId="00000015">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rFonts w:ascii="Calibri" w:cs="Calibri" w:eastAsia="Calibri" w:hAnsi="Calibri"/>
                  <w:color w:val="76bc21"/>
                  <w:u w:val="single"/>
                  <w:rtl w:val="0"/>
                </w:rPr>
                <w:t xml:space="preserve">The Attic Outlet - The Attic Outlet</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Attic Outlet is a Christian 501c3 thrift store. All profit is used to fund the ministry. Volunteers are always welcome to help in the sorting and processing of donated goods or in our USDA food pantry.</w:t>
            </w:r>
            <w:r w:rsidDel="00000000" w:rsidR="00000000" w:rsidRPr="00000000">
              <w:rPr>
                <w:rFonts w:ascii="Calibri" w:cs="Calibri" w:eastAsia="Calibri" w:hAnsi="Calibri"/>
                <w:color w:val="595959"/>
                <w:rtl w:val="0"/>
              </w:rPr>
              <w:t xml:space="preser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Tullahoma Animal Shelter</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1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Cheryl Rhoads</w:t>
            </w:r>
          </w:p>
          <w:p w:rsidR="00000000" w:rsidDel="00000000" w:rsidP="00000000" w:rsidRDefault="00000000" w:rsidRPr="00000000" w14:paraId="0000001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Crhoads@tullahomatn.gov</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454-9580</w:t>
            </w:r>
          </w:p>
          <w:p w:rsidR="00000000" w:rsidDel="00000000" w:rsidP="00000000" w:rsidRDefault="00000000" w:rsidRPr="00000000" w14:paraId="0000001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1E">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Tullahoma Animal Shelter - Adoptable pets in Middle Tennessee</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Tullahoma Animal Shelter is a place for second chances. We are a no kill shelter serving the city of Tullahoma. We intake dogs that are strays or owner surrenders and bring them up to date on vaccinations, preventatives, and alter them before they go back out into the community. Volunteers are needed to assist with cleaning kennels, walking dogs to get them comfortable with leashes, giving dogs human socialization, and bathing dogs. Volunteer hours are Monday-Friday during the hours of 8:00am - 2:00pm.</w:t>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Coffee County Humane Society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22">
            <w:pPr>
              <w:numPr>
                <w:ilvl w:val="0"/>
                <w:numId w:val="4"/>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Vera Lund</w:t>
            </w:r>
          </w:p>
          <w:p w:rsidR="00000000" w:rsidDel="00000000" w:rsidP="00000000" w:rsidRDefault="00000000" w:rsidRPr="00000000" w14:paraId="00000023">
            <w:pPr>
              <w:numPr>
                <w:ilvl w:val="0"/>
                <w:numId w:val="4"/>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1">
              <w:r w:rsidDel="00000000" w:rsidR="00000000" w:rsidRPr="00000000">
                <w:rPr>
                  <w:rFonts w:ascii="Calibri" w:cs="Calibri" w:eastAsia="Calibri" w:hAnsi="Calibri"/>
                  <w:color w:val="76bc21"/>
                  <w:u w:val="single"/>
                  <w:rtl w:val="0"/>
                </w:rPr>
                <w:t xml:space="preserve">adoption@coffeehumane.org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728-0903</w:t>
            </w:r>
          </w:p>
          <w:p w:rsidR="00000000" w:rsidDel="00000000" w:rsidP="00000000" w:rsidRDefault="00000000" w:rsidRPr="00000000" w14:paraId="0000002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6">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Coffee County Humane Society (coffeehumane.org)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Coffee County Humane Society does not have a shelter or office, but has a small network of foster homes. There are five main programs of service for the community. Volunteers are needed to help with monthly adoption events and with the small kennel.</w:t>
            </w:r>
          </w:p>
        </w:tc>
      </w:tr>
      <w:tr>
        <w:trPr>
          <w:cantSplit w:val="0"/>
          <w:tblHeader w:val="0"/>
        </w:trPr>
        <w:tc>
          <w:tcPr>
            <w:shd w:fill="76bc21" w:val="clear"/>
          </w:tcPr>
          <w:p w:rsidR="00000000" w:rsidDel="00000000" w:rsidP="00000000" w:rsidRDefault="00000000" w:rsidRPr="00000000" w14:paraId="00000028">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American Foundation for Suicide Prevention - Tennessee Chapter </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Meghan Gwaltney</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mgwaltney@afsp.org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393-4742</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color w:val="76bc21"/>
                  <w:sz w:val="20"/>
                  <w:szCs w:val="20"/>
                  <w:u w:val="single"/>
                  <w:rtl w:val="0"/>
                </w:rPr>
                <w:t xml:space="preserve">Tennessee | AFSP</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F">
            <w:pPr>
              <w:spacing w:line="240" w:lineRule="auto"/>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Tennessee Chapter of American Foundation for Suicide Prevention</w:t>
            </w:r>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595959"/>
                <w:rtl w:val="0"/>
              </w:rPr>
              <w:t xml:space="preserve">hosts seven Out of the Darkness Walks each fall, as well as other community events throughout the year. Volunteers will have the opportunity to assist in the planning, execution, and tear down of these events.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6">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7">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3A">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B">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D">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E">
      <w:pPr>
        <w:ind w:left="90" w:right="-720" w:firstLine="0"/>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Coffee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adoption@coffeehumane.org" TargetMode="External"/><Relationship Id="rId10" Type="http://schemas.openxmlformats.org/officeDocument/2006/relationships/hyperlink" Target="https://www.tullahomaanimalshelter.org/" TargetMode="External"/><Relationship Id="rId13" Type="http://schemas.openxmlformats.org/officeDocument/2006/relationships/hyperlink" Target="mailto:mgwaltney@afsp.org" TargetMode="External"/><Relationship Id="rId12" Type="http://schemas.openxmlformats.org/officeDocument/2006/relationships/hyperlink" Target="https://coffeehuman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rhoads@tullahomatn.gov" TargetMode="External"/><Relationship Id="rId15" Type="http://schemas.openxmlformats.org/officeDocument/2006/relationships/header" Target="header1.xml"/><Relationship Id="rId14" Type="http://schemas.openxmlformats.org/officeDocument/2006/relationships/hyperlink" Target="https://afsp.org/chapter/tennessee"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commcare@lighttube.net" TargetMode="External"/><Relationship Id="rId8" Type="http://schemas.openxmlformats.org/officeDocument/2006/relationships/hyperlink" Target="https://theatticoutle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